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160" w:lineRule="auto"/>
        <w:jc w:val="center"/>
        <w:rPr>
          <w:rFonts w:ascii="Calibri" w:cs="Calibri" w:eastAsia="Calibri" w:hAnsi="Calibri"/>
          <w:b w:val="1"/>
          <w:sz w:val="60"/>
          <w:szCs w:val="6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u w:val="single"/>
          <w:rtl w:val="0"/>
        </w:rPr>
        <w:t xml:space="preserve">Coach Pike’s Class Schedule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16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1st- (8:00-8:50) Junior High Athletics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2nd- (8:54-9:43) Conference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3rd- (9:48-10:37) 8th Social Studies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4th- (10:42-11:31) 7th Texas History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5th- (12:07-12:56) Learning Lab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6th- (1:01-1:50) 7th Texas History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7th- (1:55-2:44) 8th Social Studies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60" w:before="0" w:beforeAutospacing="0" w:lineRule="auto"/>
        <w:ind w:left="720" w:hanging="360"/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8th- High School Athletics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